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838" w14:textId="766DF106" w:rsidR="0086609E" w:rsidRPr="00BF7FDC" w:rsidRDefault="00BF7FDC" w:rsidP="00BF7FDC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Plano </w:t>
      </w:r>
      <w:r w:rsidR="00BA7E5F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Família Moderado</w:t>
      </w: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283DB5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                                                      </w:t>
      </w:r>
      <w:r w:rsidR="00283DB5" w:rsidRPr="00283DB5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Fundação Copel</w:t>
      </w:r>
    </w:p>
    <w:p w14:paraId="365DAAEF" w14:textId="0D870FAA" w:rsidR="00154C08" w:rsidRDefault="00BF7FDC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Lâmina Mensal de Investimentos                      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                          </w:t>
      </w: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</w:t>
      </w:r>
      <w:r w:rsidR="007C1E26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</w:t>
      </w:r>
      <w:r w:rsidR="009E765D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</w:t>
      </w:r>
      <w:r w:rsidR="008B22B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Nov</w:t>
      </w:r>
      <w:r w:rsidRPr="00413881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2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02</w:t>
      </w:r>
      <w:r w:rsidR="00AC5375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5</w:t>
      </w:r>
    </w:p>
    <w:p w14:paraId="5BC57F1F" w14:textId="6E068BB2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Informações Gerais:</w:t>
      </w:r>
    </w:p>
    <w:p w14:paraId="4788C4EA" w14:textId="49944082" w:rsidR="00BF7FDC" w:rsidRPr="002246CC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7BA52D" wp14:editId="3D7C83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9525"/>
                <wp:effectExtent l="0" t="0" r="28575" b="28575"/>
                <wp:wrapNone/>
                <wp:docPr id="795803543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E0DC4" id="Conector reto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+gOWfdoAAAAEAQAADwAAAAAAAAAAAAAAAAAJBAAAZHJzL2Rvd25yZXYueG1s&#10;UEsFBgAAAAAEAAQA8wAAABAFAAAAAA==&#10;" strokecolor="#156082" strokeweight=".5pt">
                <v:stroke joinstyle="miter"/>
              </v:line>
            </w:pict>
          </mc:Fallback>
        </mc:AlternateConten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146"/>
        <w:gridCol w:w="6407"/>
      </w:tblGrid>
      <w:tr w:rsidR="00BF7FDC" w:rsidRPr="00BF7FDC" w14:paraId="2B6DD0B2" w14:textId="77777777" w:rsidTr="002D63DE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028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Referência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904" w14:textId="24972197" w:rsidR="00BF7FDC" w:rsidRPr="00BF7FDC" w:rsidRDefault="00BF7FDC" w:rsidP="00BF7FDC">
            <w:pPr>
              <w:spacing w:after="0" w:line="240" w:lineRule="auto"/>
              <w:ind w:left="-38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45% IMA-B + 4</w:t>
            </w:r>
            <w:r w:rsidR="00A330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% CDI + 15% IBOV</w:t>
            </w:r>
          </w:p>
        </w:tc>
      </w:tr>
      <w:tr w:rsidR="00BF7FDC" w:rsidRPr="00BF7FDC" w14:paraId="19A00192" w14:textId="77777777" w:rsidTr="002D63DE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16E2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Início do Plano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9AE5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FEE8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Dezembro de 2017</w:t>
            </w:r>
          </w:p>
        </w:tc>
      </w:tr>
      <w:tr w:rsidR="00BF7FDC" w:rsidRPr="00BF7FDC" w14:paraId="4A3907E4" w14:textId="77777777" w:rsidTr="002D63DE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F81C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Taxa de Administração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1B3F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0,50% a.a.</w:t>
            </w:r>
          </w:p>
        </w:tc>
      </w:tr>
      <w:tr w:rsidR="00BF7FDC" w:rsidRPr="00BF7FDC" w14:paraId="40BF7BFA" w14:textId="77777777" w:rsidTr="002D63DE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A507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Taxa de Carregamento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9FF0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não possui</w:t>
            </w:r>
          </w:p>
        </w:tc>
      </w:tr>
    </w:tbl>
    <w:p w14:paraId="2986752F" w14:textId="5272A062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BF7FDC" w:rsidRPr="00BF7FDC" w14:paraId="2275FBEC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7380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do Plano:</w:t>
            </w:r>
          </w:p>
        </w:tc>
      </w:tr>
      <w:tr w:rsidR="00BF7FDC" w:rsidRPr="00BF7FDC" w14:paraId="10FE6FDF" w14:textId="77777777" w:rsidTr="002D63DE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B040D" w14:textId="26065230" w:rsidR="00BF7FDC" w:rsidRPr="002246CC" w:rsidRDefault="00FB3043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BB475" wp14:editId="1996CF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5972175" cy="9525"/>
                      <wp:effectExtent l="0" t="0" r="28575" b="28575"/>
                      <wp:wrapNone/>
                      <wp:docPr id="11740237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FDB4AB" id="Conector reto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eXA0c2QAAAAMBAAAPAAAAAAAAAAAAAAAAAAkEAABkcnMvZG93bnJldi54bWxQ&#10;SwUGAAAAAAQABADzAAAADwUAAAAA&#10;" strokecolor="#156082" strokeweight=".5pt">
                      <v:stroke joinstyle="miter"/>
                    </v:line>
                  </w:pict>
                </mc:Fallback>
              </mc:AlternateContent>
            </w:r>
          </w:p>
          <w:p w14:paraId="234E617B" w14:textId="5478E81E" w:rsidR="00BF7FDC" w:rsidRPr="00BF7FDC" w:rsidRDefault="00BF7FDC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46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Plano Família é da modalidade de Contribuição Definida, em que o valor do benefício é estabelecido com base no saldo acumulado resultante das contribuições realizadas ao plano e da rentabilidade dos investimentos durante a fase contributiva. O objetivo dos investimentos é otimizar o retorno do plano em relação ao nível de risco escolhido.</w:t>
            </w:r>
          </w:p>
        </w:tc>
      </w:tr>
      <w:tr w:rsidR="00BF7FDC" w:rsidRPr="00BF7FDC" w14:paraId="555C05C4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C333" w14:textId="77777777" w:rsidR="00BF7FDC" w:rsidRPr="002246C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6238518" w14:textId="77777777" w:rsid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Grau de Risco:</w:t>
            </w:r>
          </w:p>
          <w:p w14:paraId="0EAE721A" w14:textId="3BB5B300" w:rsidR="00FB3043" w:rsidRPr="00BF7FDC" w:rsidRDefault="00FB3043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A0D334" wp14:editId="68D341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5972175" cy="9525"/>
                      <wp:effectExtent l="0" t="0" r="28575" b="28575"/>
                      <wp:wrapNone/>
                      <wp:docPr id="163830525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E360C6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70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PnP0LNoAAAADAQAADwAAAAAAAAAAAAAAAAAJ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F7FDC" w:rsidRPr="00BF7FDC" w14:paraId="71C2CC03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247E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Moderado - Padrão</w:t>
            </w:r>
          </w:p>
        </w:tc>
      </w:tr>
    </w:tbl>
    <w:p w14:paraId="463829DC" w14:textId="77777777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311BB5A" w14:textId="77777777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Internacional</w:t>
      </w:r>
    </w:p>
    <w:p w14:paraId="7DCF4953" w14:textId="771FE0DA" w:rsidR="002246CC" w:rsidRPr="002246CC" w:rsidRDefault="00FB3043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1F9CB" wp14:editId="6FD898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26234233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319F7" id="Conector reto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2681F971" w14:textId="77777777" w:rsidR="008B22BE" w:rsidRPr="008B22BE" w:rsidRDefault="008B22BE" w:rsidP="008B22BE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B22BE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Em novembro, os mercados globais atravessaram um período de volatilidade marcado pela combinação de dúvidas sobre a sustentabilidade do ciclo de investimentos em inteligência artificial e incertezas em relação à trajetória da política monetária norte-americana. Apesar desse pano de fundo mais cauteloso, diversas empresas dos Estados Unidos reportaram resultados sólidos no terceiro trimestre, ainda que com alertas sobre um ambiente prospectivo menos favorável. O fim do </w:t>
      </w:r>
      <w:r w:rsidRPr="008B22BE">
        <w:rPr>
          <w:rFonts w:ascii="Aptos Narrow" w:eastAsia="Times New Roman" w:hAnsi="Aptos Narrow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shutdown</w:t>
      </w:r>
      <w:r w:rsidRPr="008B22BE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 permitiu a divulgação dos dados atrasados de setembro, confirmando a continuidade do processo de afrouxamento gradual do mercado de trabalho, enquanto indicadores de alta frequência reforçaram a tendência de enfraquecimento das contratações e de moderação do consumo após meses de forte desempenho. A comunicação do Federal Reserve seguiu heterogênea, refletindo divergências internas sobre o momento adequado para iniciar cortes de juros, mas a fala de John Williams, próximo ao presidente Powell, ao mencionar apoio a um corte “no curto prazo”, foi interpretada como sinalização relevante para a decisão de dezembro.</w:t>
      </w:r>
    </w:p>
    <w:p w14:paraId="634B1BCC" w14:textId="77777777" w:rsidR="008B22BE" w:rsidRPr="008B22BE" w:rsidRDefault="008B22BE" w:rsidP="008B22BE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B22BE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Europa, a inflação manteve-se próxima da meta do BCE e a atividade continuou resiliente, levando membros do Comitê a reforçar que o atual patamar de juros é adequado por ora. Na Ásia, os dados de outubro evidenciaram uma desaceleração mais ampla na China, com deterioração persistente no setor imobiliário, queda nos investimentos e perda de ritmo na produção industrial. Assim, o monitoramento recai sobre o impacto econômico das políticas de Donald Trump, o ritmo de desaceleração dos EUA, a postura dos bancos centrais à frente e a capacidade da China de estabilizar sua atividade por meio de estímulos adicionais.</w:t>
      </w:r>
    </w:p>
    <w:p w14:paraId="18C3A0D5" w14:textId="77777777" w:rsidR="00346417" w:rsidRDefault="00346417" w:rsidP="00383801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580B6F2E" w14:textId="77777777" w:rsidR="00346417" w:rsidRPr="00AC5375" w:rsidRDefault="00346417" w:rsidP="00383801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0188A7C5" w14:textId="77777777" w:rsidR="002246CC" w:rsidRDefault="002246CC" w:rsidP="001E439F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Nacional</w:t>
      </w:r>
    </w:p>
    <w:p w14:paraId="6763084B" w14:textId="77777777" w:rsidR="00416DDE" w:rsidRDefault="00FB3043" w:rsidP="00416DDE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0081D" wp14:editId="36A41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7933099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95BFB" id="Conector re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09FA448F" w14:textId="77777777" w:rsidR="00E020D1" w:rsidRPr="00E020D1" w:rsidRDefault="00E020D1" w:rsidP="00E020D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E020D1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Brasil, os indicadores seguem exibindo um quadro relativamente robusto, ainda que sinais iniciais de acomodação no mercado de trabalho já possam ser observados. A inflação surpreendeu positivamente, com recuos expressivos em alimentos no domicílio e bens comercializáveis, contribuindo para uma melhora marginal das expectativas de curto prazo captadas pela pesquisa Focus. Em resposta a esse ambiente, o Banco Central reconheceu o avanço do processo desinflacionário e demonstrou maior confiança de que a taxa atual é compatível com a convergência da inflação à meta, embora tenha reiterado que o nível de incerteza ainda impede antecipar movimentos futuros da Selic. O cenário externo também trouxe algum alívio, com a redução das tarifas norte-americanas sobre produtos agrícolas relevantes na pauta brasileira, como café e carne.</w:t>
      </w:r>
    </w:p>
    <w:p w14:paraId="6124DFFD" w14:textId="77777777" w:rsidR="00E020D1" w:rsidRPr="00E020D1" w:rsidRDefault="00E020D1" w:rsidP="00E020D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E020D1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Para os próximos meses, a atenção permanece concentrada na dinâmica da inflação, especialmente o núcleo de serviços, na evolução das expectativas, no debate fiscal e parafiscal, no ritmo da atividade e do mercado de trabalho e no avanço das articulações eleitorais. Em meio a esse ambiente de maior visibilidade sobre a proximidade do início do ciclo de afrouxamento monetário doméstico, o Ibovespa avançou 6,37% no período, refletindo a combinação de expectativas de queda de juros nos Estados Unidos e convicção crescente sobre a redução da Selic ao longo do próximo ano.</w:t>
      </w:r>
    </w:p>
    <w:p w14:paraId="0BE32080" w14:textId="77777777" w:rsidR="00346417" w:rsidRDefault="00346417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F96BE43" w14:textId="7E245914" w:rsidR="00850A6D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</w:t>
      </w:r>
      <w:r w:rsidR="00DD206E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entabilidade por período</w:t>
      </w:r>
    </w:p>
    <w:p w14:paraId="61479A3F" w14:textId="089FA557" w:rsidR="002D63DE" w:rsidRPr="002246CC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EA11C" wp14:editId="4DF75F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9525"/>
                <wp:effectExtent l="0" t="0" r="28575" b="28575"/>
                <wp:wrapNone/>
                <wp:docPr id="117833961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022F1" id="Conector reto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+gOWfdoAAAAEAQAADwAAAAAAAAAAAAAAAAAJBAAAZHJzL2Rvd25yZXYueG1s&#10;UEsFBgAAAAAEAAQA8wAAABAFAAAAAA==&#10;" strokecolor="#156082" strokeweight=".5pt">
                <v:stroke joinstyle="miter"/>
              </v:line>
            </w:pict>
          </mc:Fallback>
        </mc:AlternateContent>
      </w:r>
    </w:p>
    <w:p w14:paraId="09FE3AFC" w14:textId="0D8F4CAC" w:rsidR="00FA777B" w:rsidRDefault="00E020D1" w:rsidP="00DD206E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E020D1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4D7D15A9" wp14:editId="7DB1C175">
            <wp:extent cx="5143946" cy="838273"/>
            <wp:effectExtent l="0" t="0" r="0" b="0"/>
            <wp:docPr id="101477932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779322" name="Imagem 1" descr="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946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92624" w14:textId="74D83948" w:rsidR="00214C71" w:rsidRPr="00143EE6" w:rsidRDefault="00214C71" w:rsidP="00214C7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           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S.i</w:t>
      </w:r>
      <w:proofErr w:type="spellEnd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.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Since</w:t>
      </w:r>
      <w:proofErr w:type="spellEnd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Inception</w:t>
      </w:r>
      <w:proofErr w:type="spellEnd"/>
      <w:r w:rsidRPr="00143EE6">
        <w:rPr>
          <w:rFonts w:ascii="Calibri" w:eastAsia="Times New Roman" w:hAnsi="Calibri" w:cs="Calibri"/>
          <w:b/>
          <w:bCs/>
          <w:color w:val="000000"/>
          <w:kern w:val="0"/>
          <w:sz w:val="14"/>
          <w:szCs w:val="14"/>
          <w:lang w:eastAsia="pt-BR"/>
          <w14:ligatures w14:val="none"/>
        </w:rPr>
        <w:t xml:space="preserve">: </w:t>
      </w:r>
      <w:r w:rsidRPr="00143EE6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desde o início do período considerado.</w:t>
      </w:r>
    </w:p>
    <w:p w14:paraId="5E8F0825" w14:textId="77777777" w:rsidR="00DD206E" w:rsidRDefault="00DD206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9D262F" w14:textId="1509A020" w:rsidR="002246CC" w:rsidRDefault="00DD206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Rentabilidade acumulada</w:t>
      </w:r>
    </w:p>
    <w:p w14:paraId="7633194F" w14:textId="45979945" w:rsidR="002D63DE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10C14" wp14:editId="194277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101881166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D9545" id="Conector re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4FB76EB" w14:textId="59076E0A" w:rsidR="002246CC" w:rsidRDefault="00BA26C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BA26C5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0D155253" wp14:editId="3E6BA0EF">
            <wp:extent cx="6030595" cy="3209290"/>
            <wp:effectExtent l="0" t="0" r="8255" b="0"/>
            <wp:docPr id="560210783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10783" name="Imagem 1" descr="Gráfico, Gráfico de linhas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A4A0" w14:textId="77777777" w:rsidR="003945D8" w:rsidRDefault="003945D8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7184C36" w14:textId="2ECA8F50" w:rsidR="002D63DE" w:rsidRDefault="00BA26C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BA26C5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2BE8C568" wp14:editId="39C066B0">
            <wp:extent cx="6030595" cy="1164590"/>
            <wp:effectExtent l="0" t="0" r="8255" b="0"/>
            <wp:docPr id="1426440701" name="Imagem 1" descr="Uma imagem contendo 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40701" name="Imagem 1" descr="Uma imagem contendo Tabel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068" w14:textId="77777777" w:rsidR="00224EE0" w:rsidRPr="00DD206E" w:rsidRDefault="00224EE0" w:rsidP="00224E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DD206E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Importante: A rentabilidade obtida no passado não representa garantia de resultados futuros.</w:t>
      </w:r>
    </w:p>
    <w:p w14:paraId="77C49731" w14:textId="467AB329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47C07545" w14:textId="09AE0E26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72CD44D2" w14:textId="71A9342C" w:rsidR="00FA777B" w:rsidRDefault="00FA777B" w:rsidP="00FA777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Composição da Carteira</w:t>
      </w:r>
    </w:p>
    <w:p w14:paraId="0C9C1F1E" w14:textId="03437A3E" w:rsidR="00FA777B" w:rsidRDefault="00FA777B" w:rsidP="00BF7FDC">
      <w:pPr>
        <w:spacing w:after="0" w:line="240" w:lineRule="auto"/>
        <w:rPr>
          <w:noProof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8B205" wp14:editId="348CE384">
                <wp:simplePos x="0" y="0"/>
                <wp:positionH relativeFrom="margin">
                  <wp:posOffset>-9525</wp:posOffset>
                </wp:positionH>
                <wp:positionV relativeFrom="paragraph">
                  <wp:posOffset>15240</wp:posOffset>
                </wp:positionV>
                <wp:extent cx="5972175" cy="9525"/>
                <wp:effectExtent l="0" t="0" r="28575" b="28575"/>
                <wp:wrapNone/>
                <wp:docPr id="57797981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605EE" id="Conector re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.2pt" to="46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BFPRdh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6231BD61" w14:textId="2ED333D8" w:rsidR="00FA777B" w:rsidRDefault="00502C9D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502C9D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04F6576C" wp14:editId="2C1DB863">
            <wp:extent cx="2207068" cy="1310640"/>
            <wp:effectExtent l="0" t="0" r="3175" b="3810"/>
            <wp:docPr id="951430597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30597" name="Imagem 1" descr="Tabel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4384" cy="13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3C9C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462A25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        </w:t>
      </w:r>
      <w:r w:rsidR="006565EF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</w:t>
      </w:r>
      <w:r w:rsidRPr="00502C9D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7778ADEC" wp14:editId="5864177A">
            <wp:extent cx="2931133" cy="1548765"/>
            <wp:effectExtent l="0" t="0" r="3175" b="0"/>
            <wp:docPr id="352598203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98203" name="Imagem 1" descr="Gráfic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7825" cy="155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77B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</w:t>
      </w:r>
    </w:p>
    <w:p w14:paraId="1EC4463E" w14:textId="77777777" w:rsidR="00FA777B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5175587F" w14:textId="7D52218D" w:rsidR="004D5EFA" w:rsidRDefault="004D5EF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1B8718FC" w14:textId="59F66D9A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BFC292C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1AFD242" w14:textId="1ADB2FE2" w:rsidR="004E73CE" w:rsidRDefault="006654B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Prestadore</w:t>
      </w:r>
      <w:r w:rsidR="00224EE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</w:p>
    <w:p w14:paraId="41E4003E" w14:textId="65C8C073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15A42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81664" wp14:editId="618BE3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72175" cy="9525"/>
                <wp:effectExtent l="0" t="0" r="28575" b="28575"/>
                <wp:wrapNone/>
                <wp:docPr id="33144309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C57C0" id="Conector reto 10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7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DhtICS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F734B58" w14:textId="32A7F72B" w:rsidR="000C439F" w:rsidRPr="00224EE0" w:rsidRDefault="004E73CE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224EE0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  <w:t>Administrador                                                         Custodiante</w:t>
      </w:r>
    </w:p>
    <w:p w14:paraId="12C7D850" w14:textId="652C5E07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4E73CE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5EB1C186" wp14:editId="6FDCE5DD">
            <wp:extent cx="878507" cy="409575"/>
            <wp:effectExtent l="0" t="0" r="0" b="0"/>
            <wp:docPr id="981167348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7348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829" cy="4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</w:t>
      </w:r>
      <w:r w:rsidRPr="00224EE0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60168EB3" wp14:editId="4EC7CBAE">
            <wp:extent cx="385644" cy="390525"/>
            <wp:effectExtent l="0" t="0" r="0" b="0"/>
            <wp:docPr id="164580559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9690" name="Imagem 1" descr="Ícone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93" cy="4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4A0F" w14:textId="571343EA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</w:t>
      </w:r>
    </w:p>
    <w:p w14:paraId="0039DB68" w14:textId="1B934B6F" w:rsidR="000C439F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</w:t>
      </w:r>
    </w:p>
    <w:p w14:paraId="71494265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sectPr w:rsidR="000C439F" w:rsidSect="00154C08">
      <w:headerReference w:type="default" r:id="rId13"/>
      <w:pgSz w:w="11906" w:h="16838"/>
      <w:pgMar w:top="1417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A978" w14:textId="77777777" w:rsidR="00590955" w:rsidRDefault="00590955">
      <w:pPr>
        <w:spacing w:after="0" w:line="240" w:lineRule="auto"/>
      </w:pPr>
    </w:p>
  </w:endnote>
  <w:endnote w:type="continuationSeparator" w:id="0">
    <w:p w14:paraId="27815966" w14:textId="77777777" w:rsidR="00590955" w:rsidRDefault="005909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291B" w14:textId="77777777" w:rsidR="00590955" w:rsidRDefault="00590955">
      <w:pPr>
        <w:spacing w:after="0" w:line="240" w:lineRule="auto"/>
      </w:pPr>
    </w:p>
  </w:footnote>
  <w:footnote w:type="continuationSeparator" w:id="0">
    <w:p w14:paraId="650F6726" w14:textId="77777777" w:rsidR="00590955" w:rsidRDefault="005909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2D8" w14:textId="2E6427C7" w:rsidR="007D1A2B" w:rsidRPr="007D1A2B" w:rsidRDefault="007D1A2B" w:rsidP="007D1A2B">
    <w:pPr>
      <w:pStyle w:val="Cabealho"/>
    </w:pPr>
    <w:r w:rsidRPr="007D1A2B">
      <w:rPr>
        <w:noProof/>
      </w:rPr>
      <w:drawing>
        <wp:inline distT="0" distB="0" distL="0" distR="0" wp14:anchorId="4E702B9C" wp14:editId="549EA8A8">
          <wp:extent cx="1628775" cy="291869"/>
          <wp:effectExtent l="0" t="0" r="0" b="0"/>
          <wp:docPr id="1078187396" name="Imagem 1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3143" name="Imagem 1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21" cy="30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A2B83" w14:textId="77777777" w:rsidR="007D1A2B" w:rsidRDefault="007D1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C"/>
    <w:rsid w:val="0000583D"/>
    <w:rsid w:val="000414B6"/>
    <w:rsid w:val="00044DB6"/>
    <w:rsid w:val="00071959"/>
    <w:rsid w:val="000C439F"/>
    <w:rsid w:val="000E6210"/>
    <w:rsid w:val="00125980"/>
    <w:rsid w:val="00154C08"/>
    <w:rsid w:val="00161734"/>
    <w:rsid w:val="001A0DE0"/>
    <w:rsid w:val="001A361B"/>
    <w:rsid w:val="001D6666"/>
    <w:rsid w:val="001E439F"/>
    <w:rsid w:val="001F0E95"/>
    <w:rsid w:val="002055F1"/>
    <w:rsid w:val="00214C71"/>
    <w:rsid w:val="0022336C"/>
    <w:rsid w:val="002246CC"/>
    <w:rsid w:val="00224EE0"/>
    <w:rsid w:val="00243B40"/>
    <w:rsid w:val="00246AA6"/>
    <w:rsid w:val="002524AC"/>
    <w:rsid w:val="002676FE"/>
    <w:rsid w:val="00283DB5"/>
    <w:rsid w:val="002A2B66"/>
    <w:rsid w:val="002D603A"/>
    <w:rsid w:val="002D63DE"/>
    <w:rsid w:val="00344D81"/>
    <w:rsid w:val="00346417"/>
    <w:rsid w:val="00383801"/>
    <w:rsid w:val="003945D8"/>
    <w:rsid w:val="00396462"/>
    <w:rsid w:val="003D2385"/>
    <w:rsid w:val="003D4745"/>
    <w:rsid w:val="0040704D"/>
    <w:rsid w:val="00413881"/>
    <w:rsid w:val="00416DDE"/>
    <w:rsid w:val="004355B9"/>
    <w:rsid w:val="00444A10"/>
    <w:rsid w:val="00446732"/>
    <w:rsid w:val="00462A25"/>
    <w:rsid w:val="004647AB"/>
    <w:rsid w:val="00480942"/>
    <w:rsid w:val="004C2A59"/>
    <w:rsid w:val="004C3161"/>
    <w:rsid w:val="004C5906"/>
    <w:rsid w:val="004D2339"/>
    <w:rsid w:val="004D5EFA"/>
    <w:rsid w:val="004E73CE"/>
    <w:rsid w:val="00502C9D"/>
    <w:rsid w:val="0054695F"/>
    <w:rsid w:val="005503F1"/>
    <w:rsid w:val="005653CB"/>
    <w:rsid w:val="0058664A"/>
    <w:rsid w:val="00590955"/>
    <w:rsid w:val="00650961"/>
    <w:rsid w:val="006565EF"/>
    <w:rsid w:val="006637A9"/>
    <w:rsid w:val="006654BA"/>
    <w:rsid w:val="006954D9"/>
    <w:rsid w:val="006A304D"/>
    <w:rsid w:val="00720AF8"/>
    <w:rsid w:val="007504B1"/>
    <w:rsid w:val="007B00E6"/>
    <w:rsid w:val="007C1E26"/>
    <w:rsid w:val="007D1A2B"/>
    <w:rsid w:val="007D6B0F"/>
    <w:rsid w:val="007E1C34"/>
    <w:rsid w:val="008036B6"/>
    <w:rsid w:val="00844951"/>
    <w:rsid w:val="00850A6D"/>
    <w:rsid w:val="0086609E"/>
    <w:rsid w:val="008A1B5F"/>
    <w:rsid w:val="008B22BE"/>
    <w:rsid w:val="008F00FC"/>
    <w:rsid w:val="008F1D8E"/>
    <w:rsid w:val="00900650"/>
    <w:rsid w:val="00906C5F"/>
    <w:rsid w:val="00924CC9"/>
    <w:rsid w:val="00930570"/>
    <w:rsid w:val="00952BAB"/>
    <w:rsid w:val="00960AE5"/>
    <w:rsid w:val="0097631E"/>
    <w:rsid w:val="00995BA4"/>
    <w:rsid w:val="009A2B6B"/>
    <w:rsid w:val="009D52DC"/>
    <w:rsid w:val="009E0A1A"/>
    <w:rsid w:val="009E765D"/>
    <w:rsid w:val="00A07852"/>
    <w:rsid w:val="00A330B5"/>
    <w:rsid w:val="00A53D16"/>
    <w:rsid w:val="00A83BA1"/>
    <w:rsid w:val="00AC5375"/>
    <w:rsid w:val="00B60003"/>
    <w:rsid w:val="00B67E02"/>
    <w:rsid w:val="00BA26C5"/>
    <w:rsid w:val="00BA7E5F"/>
    <w:rsid w:val="00BC4618"/>
    <w:rsid w:val="00BF5049"/>
    <w:rsid w:val="00BF7FDC"/>
    <w:rsid w:val="00C56AF6"/>
    <w:rsid w:val="00C84E58"/>
    <w:rsid w:val="00CB2931"/>
    <w:rsid w:val="00CC4921"/>
    <w:rsid w:val="00CD604F"/>
    <w:rsid w:val="00D14E9F"/>
    <w:rsid w:val="00D50B25"/>
    <w:rsid w:val="00D6782D"/>
    <w:rsid w:val="00D915FE"/>
    <w:rsid w:val="00D93306"/>
    <w:rsid w:val="00DD1453"/>
    <w:rsid w:val="00DD206E"/>
    <w:rsid w:val="00E020D1"/>
    <w:rsid w:val="00E10DD7"/>
    <w:rsid w:val="00E3129B"/>
    <w:rsid w:val="00E61822"/>
    <w:rsid w:val="00EB027F"/>
    <w:rsid w:val="00EB22AE"/>
    <w:rsid w:val="00ED4299"/>
    <w:rsid w:val="00ED5874"/>
    <w:rsid w:val="00EF35E4"/>
    <w:rsid w:val="00F15A42"/>
    <w:rsid w:val="00F23E77"/>
    <w:rsid w:val="00F331EF"/>
    <w:rsid w:val="00F43C9C"/>
    <w:rsid w:val="00FA5922"/>
    <w:rsid w:val="00FA777B"/>
    <w:rsid w:val="00FB3043"/>
    <w:rsid w:val="00FB76D1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FE5A"/>
  <w15:chartTrackingRefBased/>
  <w15:docId w15:val="{F3348CB5-4D2A-427B-91D1-6C306F6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F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F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F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F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FD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63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7A9"/>
  </w:style>
  <w:style w:type="paragraph" w:styleId="Cabealho">
    <w:name w:val="header"/>
    <w:basedOn w:val="Normal"/>
    <w:link w:val="CabealhoChar"/>
    <w:uiPriority w:val="99"/>
    <w:unhideWhenUsed/>
    <w:rsid w:val="007D1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Czech Oliveira</dc:creator>
  <cp:keywords/>
  <dc:description/>
  <cp:lastModifiedBy>Vivian Czech Oliveira</cp:lastModifiedBy>
  <cp:revision>2</cp:revision>
  <dcterms:created xsi:type="dcterms:W3CDTF">2025-12-12T19:48:00Z</dcterms:created>
  <dcterms:modified xsi:type="dcterms:W3CDTF">2025-12-12T19:48:00Z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513e8c-7651-4fb4-8346-a6d7744fe0d7_Enabled">
    <vt:lpwstr>true</vt:lpwstr>
  </property>
  <property fmtid="{D5CDD505-2E9C-101B-9397-08002B2CF9AE}" pid="3" name="MSIP_Label_14513e8c-7651-4fb4-8346-a6d7744fe0d7_SetDate">
    <vt:lpwstr>2024-11-29T12:18:40Z</vt:lpwstr>
  </property>
  <property fmtid="{D5CDD505-2E9C-101B-9397-08002B2CF9AE}" pid="4" name="MSIP_Label_14513e8c-7651-4fb4-8346-a6d7744fe0d7_Method">
    <vt:lpwstr>Privileged</vt:lpwstr>
  </property>
  <property fmtid="{D5CDD505-2E9C-101B-9397-08002B2CF9AE}" pid="5" name="MSIP_Label_14513e8c-7651-4fb4-8346-a6d7744fe0d7_Name">
    <vt:lpwstr>Publica</vt:lpwstr>
  </property>
  <property fmtid="{D5CDD505-2E9C-101B-9397-08002B2CF9AE}" pid="6" name="MSIP_Label_14513e8c-7651-4fb4-8346-a6d7744fe0d7_SiteId">
    <vt:lpwstr>20dfd3ff-2298-473e-8035-8f97570c4361</vt:lpwstr>
  </property>
  <property fmtid="{D5CDD505-2E9C-101B-9397-08002B2CF9AE}" pid="7" name="MSIP_Label_14513e8c-7651-4fb4-8346-a6d7744fe0d7_ActionId">
    <vt:lpwstr>158c0fc5-a9cf-4913-a259-7a08e27bea49</vt:lpwstr>
  </property>
  <property fmtid="{D5CDD505-2E9C-101B-9397-08002B2CF9AE}" pid="8" name="MSIP_Label_14513e8c-7651-4fb4-8346-a6d7744fe0d7_ContentBits">
    <vt:lpwstr>2</vt:lpwstr>
  </property>
</Properties>
</file>